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>ИИ ООО</w:t>
      </w:r>
      <w:proofErr w:type="gramEnd"/>
      <w:r w:rsidRPr="00152679">
        <w:rPr>
          <w:b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:rsidR="00EC4CC9" w:rsidRPr="00152679" w:rsidRDefault="00EC4CC9" w:rsidP="00152679">
      <w:pPr>
        <w:spacing w:after="0" w:line="240" w:lineRule="auto"/>
        <w:jc w:val="center"/>
        <w:rPr>
          <w:b/>
          <w:i/>
          <w:u w:val="single"/>
        </w:rPr>
      </w:pPr>
      <w:r w:rsidRPr="00152679">
        <w:rPr>
          <w:b/>
          <w:i/>
          <w:u w:val="single"/>
        </w:rPr>
        <w:t>юридического лица или индивидуального предпринимателя, максимальная мощность которых составляет менее 670кВт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>юридическое лицо или индивидуальный предприниматель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152679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152679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9127A1" w:rsidRPr="009127A1" w:rsidRDefault="009127A1" w:rsidP="002E1DAC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Первичная 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634930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0207AF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:rsidTr="00152679">
        <w:tc>
          <w:tcPr>
            <w:tcW w:w="675" w:type="dxa"/>
            <w:vMerge w:val="restart"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601989" w:rsidRPr="009127A1" w:rsidRDefault="0060198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</w:p>
        </w:tc>
        <w:tc>
          <w:tcPr>
            <w:tcW w:w="3686" w:type="dxa"/>
          </w:tcPr>
          <w:p w:rsidR="002D65EA" w:rsidRPr="002D65EA" w:rsidRDefault="002D65EA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16"/>
                <w:szCs w:val="16"/>
              </w:rPr>
            </w:pPr>
            <w:r w:rsidRPr="002D65EA">
              <w:rPr>
                <w:sz w:val="16"/>
                <w:szCs w:val="16"/>
              </w:rPr>
              <w:t>в течение 30 дней со дня получения заявки от заявителя.</w:t>
            </w:r>
          </w:p>
          <w:p w:rsidR="00601989" w:rsidRPr="002D65EA" w:rsidRDefault="002D65EA" w:rsidP="002D65EA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2D65EA">
              <w:rPr>
                <w:rFonts w:eastAsia="Calibri"/>
                <w:sz w:val="16"/>
                <w:szCs w:val="16"/>
              </w:rPr>
              <w:t xml:space="preserve">В случае если для осуществления технологического присоединения </w:t>
            </w:r>
            <w:proofErr w:type="spellStart"/>
            <w:r w:rsidRPr="002D65EA">
              <w:rPr>
                <w:rFonts w:eastAsia="Calibri"/>
                <w:sz w:val="16"/>
                <w:szCs w:val="16"/>
              </w:rPr>
              <w:t>энергопринимающего</w:t>
            </w:r>
            <w:proofErr w:type="spellEnd"/>
            <w:r w:rsidRPr="002D65EA">
              <w:rPr>
                <w:rFonts w:eastAsia="Calibri"/>
                <w:sz w:val="16"/>
                <w:szCs w:val="16"/>
              </w:rPr>
              <w:t xml:space="preserve"> устройства заявителя по индивидуальному проекту сетевой организации необходимо осуществление строительства (реконструкции) объекта электросетевого хозяйства, не включенного в инвестиционные программы на очередной период регулирования, и при этом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</w:t>
            </w:r>
            <w:proofErr w:type="gramEnd"/>
            <w:r w:rsidRPr="002D65EA">
              <w:rPr>
                <w:rFonts w:eastAsia="Calibri"/>
                <w:sz w:val="16"/>
                <w:szCs w:val="16"/>
              </w:rPr>
              <w:t xml:space="preserve"> к договору, и расчета платы за технологическое присоединение по </w:t>
            </w:r>
            <w:proofErr w:type="gramStart"/>
            <w:r w:rsidRPr="002D65EA">
              <w:rPr>
                <w:rFonts w:eastAsia="Calibri"/>
                <w:sz w:val="16"/>
                <w:szCs w:val="16"/>
              </w:rPr>
              <w:t>индивидуальному проекту</w:t>
            </w:r>
            <w:proofErr w:type="gramEnd"/>
            <w:r w:rsidRPr="002D65EA">
              <w:rPr>
                <w:rFonts w:eastAsia="Calibri"/>
                <w:sz w:val="16"/>
                <w:szCs w:val="16"/>
              </w:rPr>
              <w:t xml:space="preserve"> </w:t>
            </w:r>
            <w:r w:rsidRPr="002D65EA">
              <w:rPr>
                <w:rFonts w:eastAsia="Calibri"/>
                <w:sz w:val="16"/>
                <w:szCs w:val="16"/>
              </w:rPr>
              <w:lastRenderedPageBreak/>
              <w:t>продлевается на срок, установленный для заключения договора с вышестоящей сетевой организацией, и на срок расчета</w:t>
            </w:r>
          </w:p>
          <w:p w:rsidR="002D65EA" w:rsidRPr="009127A1" w:rsidRDefault="002D65EA" w:rsidP="002D65EA">
            <w:pPr>
              <w:rPr>
                <w:sz w:val="20"/>
                <w:szCs w:val="20"/>
              </w:rPr>
            </w:pP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30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подписанного сетевой организацией проекта договора</w:t>
            </w: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rPr>
          <w:cantSplit/>
          <w:trHeight w:val="1134"/>
        </w:trPr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исполняет указанные обязательства в пределах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энергопринимающие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заявителя;</w:t>
            </w:r>
          </w:p>
          <w:p w:rsidR="00152679" w:rsidRDefault="00152679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 заявителем и 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:rsidR="002D65EA" w:rsidRPr="002D65EA" w:rsidRDefault="002D65EA" w:rsidP="002D65EA">
            <w:pPr>
              <w:keepNext/>
              <w:keepLines/>
              <w:widowControl w:val="0"/>
              <w:suppressAutoHyphens/>
              <w:adjustRightInd w:val="0"/>
              <w:ind w:left="34"/>
              <w:rPr>
                <w:sz w:val="16"/>
                <w:szCs w:val="16"/>
              </w:rPr>
            </w:pPr>
            <w:r w:rsidRPr="002D65EA">
              <w:rPr>
                <w:sz w:val="16"/>
                <w:szCs w:val="16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сторон.</w:t>
            </w:r>
          </w:p>
          <w:p w:rsidR="00152679" w:rsidRPr="002D65EA" w:rsidRDefault="002D65EA" w:rsidP="002D65EA">
            <w:pPr>
              <w:rPr>
                <w:sz w:val="16"/>
                <w:szCs w:val="16"/>
              </w:rPr>
            </w:pPr>
            <w:proofErr w:type="gramStart"/>
            <w:r w:rsidRPr="002D65EA">
              <w:rPr>
                <w:sz w:val="16"/>
                <w:szCs w:val="16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2D65EA">
              <w:rPr>
                <w:sz w:val="16"/>
                <w:szCs w:val="16"/>
              </w:rPr>
              <w:t>энергопринимающие</w:t>
            </w:r>
            <w:proofErr w:type="spellEnd"/>
            <w:r w:rsidRPr="002D65EA">
              <w:rPr>
                <w:sz w:val="16"/>
                <w:szCs w:val="16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2D65EA">
              <w:rPr>
                <w:sz w:val="16"/>
                <w:szCs w:val="16"/>
              </w:rPr>
              <w:t xml:space="preserve"> </w:t>
            </w:r>
            <w:proofErr w:type="gramStart"/>
            <w:r w:rsidRPr="002D65EA">
              <w:rPr>
                <w:sz w:val="16"/>
                <w:szCs w:val="16"/>
              </w:rPr>
      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в течение 4 месяцев.</w:t>
            </w:r>
            <w:proofErr w:type="gramEnd"/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 рабочих дней со дня проведения осмотра с соблюдением срока выполнения мероприятий сетевой организацией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:rsidR="00FC01A0" w:rsidRPr="000207AF" w:rsidRDefault="00FC01A0" w:rsidP="00EC4CC9">
            <w:pPr>
              <w:rPr>
                <w:sz w:val="16"/>
                <w:szCs w:val="16"/>
              </w:rPr>
            </w:pPr>
            <w:proofErr w:type="gramStart"/>
            <w:r w:rsidRPr="000207AF">
              <w:rPr>
                <w:sz w:val="16"/>
                <w:szCs w:val="16"/>
              </w:rPr>
              <w:t>Не позднее 15 рабочих дней со дня проведения осмотра 9обследования)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  <w:proofErr w:type="gramEnd"/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разграничения балансовой принадлежности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 рабочих дней со дня проведения осмотра (обследования)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634930" w:rsidRDefault="00634930" w:rsidP="00EC4CC9">
      <w:pPr>
        <w:spacing w:after="0" w:line="240" w:lineRule="auto"/>
      </w:pPr>
    </w:p>
    <w:p w:rsidR="00634930" w:rsidRDefault="00634930" w:rsidP="00EC4CC9">
      <w:pPr>
        <w:spacing w:after="0" w:line="240" w:lineRule="auto"/>
      </w:pPr>
    </w:p>
    <w:p w:rsidR="00634930" w:rsidRDefault="00634930" w:rsidP="00EC4CC9">
      <w:pPr>
        <w:spacing w:after="0" w:line="240" w:lineRule="auto"/>
      </w:pPr>
    </w:p>
    <w:p w:rsidR="00634930" w:rsidRDefault="00634930" w:rsidP="00EC4CC9">
      <w:pPr>
        <w:spacing w:after="0" w:line="240" w:lineRule="auto"/>
      </w:pPr>
    </w:p>
    <w:p w:rsidR="00634930" w:rsidRDefault="00634930" w:rsidP="00EC4CC9">
      <w:pPr>
        <w:spacing w:after="0" w:line="240" w:lineRule="auto"/>
      </w:pPr>
    </w:p>
    <w:p w:rsidR="00634930" w:rsidRPr="00634930" w:rsidRDefault="00634930" w:rsidP="00634930">
      <w:pPr>
        <w:spacing w:after="0" w:line="240" w:lineRule="auto"/>
        <w:jc w:val="center"/>
        <w:rPr>
          <w:sz w:val="24"/>
          <w:szCs w:val="24"/>
        </w:rPr>
      </w:pPr>
      <w:r w:rsidRPr="00634930">
        <w:rPr>
          <w:sz w:val="24"/>
          <w:szCs w:val="24"/>
        </w:rPr>
        <w:t>Директор ООО «ТЭК»</w:t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r w:rsidRPr="00634930">
        <w:rPr>
          <w:sz w:val="24"/>
          <w:szCs w:val="24"/>
        </w:rPr>
        <w:tab/>
      </w:r>
      <w:proofErr w:type="spellStart"/>
      <w:r w:rsidRPr="00634930">
        <w:rPr>
          <w:sz w:val="24"/>
          <w:szCs w:val="24"/>
        </w:rPr>
        <w:t>О.Ю.Коржов</w:t>
      </w:r>
      <w:proofErr w:type="spellEnd"/>
    </w:p>
    <w:sectPr w:rsidR="00634930" w:rsidRPr="00634930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0E0643"/>
    <w:rsid w:val="00103773"/>
    <w:rsid w:val="00152679"/>
    <w:rsid w:val="002D65EA"/>
    <w:rsid w:val="002E1DAC"/>
    <w:rsid w:val="002E20DA"/>
    <w:rsid w:val="002F0D72"/>
    <w:rsid w:val="00601989"/>
    <w:rsid w:val="00634930"/>
    <w:rsid w:val="00703730"/>
    <w:rsid w:val="009127A1"/>
    <w:rsid w:val="00A904EC"/>
    <w:rsid w:val="00C207E6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7583C-6299-4935-84D0-13BAE7E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2017-06-22T13:00:00Z</cp:lastPrinted>
  <dcterms:created xsi:type="dcterms:W3CDTF">2017-06-22T13:01:00Z</dcterms:created>
  <dcterms:modified xsi:type="dcterms:W3CDTF">2017-06-22T13:01:00Z</dcterms:modified>
</cp:coreProperties>
</file>