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page" w:tblpX="2925" w:tblpY="5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E7021D" w:rsidRPr="00B466D8" w14:paraId="516006C7" w14:textId="77777777" w:rsidTr="007D5C2D">
        <w:trPr>
          <w:trHeight w:val="128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F55A081" w14:textId="77777777" w:rsidR="007D5C2D" w:rsidRPr="004F74F3" w:rsidRDefault="007D5C2D" w:rsidP="007D5C2D">
            <w:pPr>
              <w:pStyle w:val="Standard"/>
              <w:ind w:left="-993" w:firstLine="255"/>
              <w:jc w:val="right"/>
              <w:rPr>
                <w:sz w:val="22"/>
                <w:szCs w:val="22"/>
              </w:rPr>
            </w:pPr>
            <w:r w:rsidRPr="004F74F3">
              <w:rPr>
                <w:sz w:val="22"/>
                <w:szCs w:val="22"/>
              </w:rPr>
              <w:t>В соответствии со стандартами раскрытия информации</w:t>
            </w:r>
          </w:p>
          <w:p w14:paraId="62FB2EC8" w14:textId="77777777" w:rsidR="007D5C2D" w:rsidRPr="004F74F3" w:rsidRDefault="007D5C2D" w:rsidP="007D5C2D">
            <w:pPr>
              <w:pStyle w:val="Standard"/>
              <w:ind w:left="-993" w:firstLine="255"/>
              <w:jc w:val="right"/>
              <w:rPr>
                <w:sz w:val="22"/>
                <w:szCs w:val="22"/>
              </w:rPr>
            </w:pPr>
            <w:r w:rsidRPr="004F74F3">
              <w:rPr>
                <w:sz w:val="22"/>
                <w:szCs w:val="22"/>
              </w:rPr>
              <w:t>субъектами оптового и розничных рынков электрической</w:t>
            </w:r>
          </w:p>
          <w:p w14:paraId="593E9827" w14:textId="77777777" w:rsidR="00E7021D" w:rsidRPr="00B466D8" w:rsidRDefault="007D5C2D" w:rsidP="007D5C2D">
            <w:pPr>
              <w:pStyle w:val="Standard"/>
              <w:ind w:left="29"/>
              <w:jc w:val="right"/>
            </w:pPr>
            <w:r w:rsidRPr="004F74F3">
              <w:rPr>
                <w:sz w:val="22"/>
                <w:szCs w:val="22"/>
              </w:rPr>
              <w:t xml:space="preserve"> энергии постановление № 24 от 21 января 2004г. п.</w:t>
            </w:r>
            <w:r>
              <w:rPr>
                <w:sz w:val="22"/>
                <w:szCs w:val="22"/>
              </w:rPr>
              <w:t xml:space="preserve"> 12-в</w:t>
            </w:r>
          </w:p>
        </w:tc>
      </w:tr>
    </w:tbl>
    <w:p w14:paraId="6BF0EEBC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15039876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45FCAB94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094F15E6" w14:textId="77777777" w:rsidR="00A35A75" w:rsidRPr="00B466D8" w:rsidRDefault="00A35A75" w:rsidP="003C56CC">
      <w:pPr>
        <w:pStyle w:val="Standard"/>
        <w:ind w:left="567" w:firstLine="284"/>
        <w:rPr>
          <w:iCs/>
        </w:rPr>
      </w:pPr>
    </w:p>
    <w:p w14:paraId="3A07D6D2" w14:textId="77777777" w:rsidR="00C027FC" w:rsidRDefault="00C027FC" w:rsidP="00DA288A">
      <w:pPr>
        <w:pStyle w:val="Standard"/>
        <w:ind w:left="567" w:firstLine="284"/>
        <w:jc w:val="center"/>
        <w:rPr>
          <w:iCs/>
        </w:rPr>
      </w:pPr>
    </w:p>
    <w:p w14:paraId="59C90DF4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1129376A" w14:textId="77777777" w:rsidR="00C027FC" w:rsidRPr="00C074FA" w:rsidRDefault="00C074FA" w:rsidP="00DA288A">
      <w:pPr>
        <w:pStyle w:val="Standard"/>
        <w:ind w:left="567" w:firstLine="284"/>
        <w:jc w:val="center"/>
        <w:rPr>
          <w:b/>
          <w:iCs/>
        </w:rPr>
      </w:pPr>
      <w:r w:rsidRPr="00C074FA">
        <w:rPr>
          <w:b/>
          <w:iCs/>
        </w:rPr>
        <w:t>СПРАВКА</w:t>
      </w:r>
    </w:p>
    <w:p w14:paraId="753F94F4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23423E5E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3F5F5B03" w14:textId="7EBA756F" w:rsidR="00C074FA" w:rsidRDefault="00075E4C" w:rsidP="008E31FE">
      <w:pPr>
        <w:pStyle w:val="Standard"/>
        <w:spacing w:line="360" w:lineRule="auto"/>
        <w:ind w:firstLine="851"/>
        <w:jc w:val="both"/>
        <w:rPr>
          <w:iCs/>
        </w:rPr>
      </w:pPr>
      <w:r>
        <w:rPr>
          <w:iCs/>
        </w:rPr>
        <w:t xml:space="preserve">Индивидуальный </w:t>
      </w:r>
      <w:r w:rsidR="008E31FE">
        <w:rPr>
          <w:iCs/>
        </w:rPr>
        <w:t xml:space="preserve">тариф на передачу электроэнергии между ПАО «Россети Юг» -«Ростовэнерго», АО «Донэнерго» и </w:t>
      </w:r>
      <w:r>
        <w:rPr>
          <w:iCs/>
        </w:rPr>
        <w:t xml:space="preserve">ООО «ТЭК» </w:t>
      </w:r>
      <w:r w:rsidR="008E31FE">
        <w:rPr>
          <w:iCs/>
        </w:rPr>
        <w:t>на 202</w:t>
      </w:r>
      <w:r w:rsidR="001C2C4C">
        <w:rPr>
          <w:iCs/>
        </w:rPr>
        <w:t>3</w:t>
      </w:r>
      <w:r w:rsidR="008E31FE">
        <w:rPr>
          <w:iCs/>
        </w:rPr>
        <w:t xml:space="preserve">г. </w:t>
      </w:r>
      <w:r>
        <w:rPr>
          <w:iCs/>
        </w:rPr>
        <w:t>рассчитан</w:t>
      </w:r>
      <w:r w:rsidR="008E31FE">
        <w:rPr>
          <w:iCs/>
        </w:rPr>
        <w:t xml:space="preserve"> и утвержден</w:t>
      </w:r>
      <w:r>
        <w:rPr>
          <w:iCs/>
        </w:rPr>
        <w:t xml:space="preserve"> с применением метода долгосрочной индексации необходимой валовой выручки</w:t>
      </w:r>
      <w:r w:rsidR="00C074FA">
        <w:rPr>
          <w:iCs/>
        </w:rPr>
        <w:t>.</w:t>
      </w:r>
    </w:p>
    <w:p w14:paraId="48336B24" w14:textId="598A57CA" w:rsidR="00075E4C" w:rsidRDefault="00075E4C" w:rsidP="008E31FE">
      <w:pPr>
        <w:pStyle w:val="Standard"/>
        <w:spacing w:line="360" w:lineRule="auto"/>
        <w:ind w:firstLine="851"/>
        <w:jc w:val="both"/>
        <w:rPr>
          <w:iCs/>
        </w:rPr>
      </w:pPr>
      <w:r>
        <w:rPr>
          <w:iCs/>
        </w:rPr>
        <w:t xml:space="preserve">Метод доходности инвестированного капитала </w:t>
      </w:r>
      <w:r w:rsidR="008E31FE">
        <w:rPr>
          <w:iCs/>
        </w:rPr>
        <w:t xml:space="preserve">для расчета индивидуального тарифа </w:t>
      </w:r>
      <w:r w:rsidR="008E31FE" w:rsidRPr="008E31FE">
        <w:rPr>
          <w:iCs/>
        </w:rPr>
        <w:t>на передачу электроэнергии между ПАО «Россети Юг» -</w:t>
      </w:r>
      <w:r w:rsidR="00E307F3">
        <w:rPr>
          <w:iCs/>
        </w:rPr>
        <w:t xml:space="preserve"> </w:t>
      </w:r>
      <w:r w:rsidR="008E31FE" w:rsidRPr="008E31FE">
        <w:rPr>
          <w:iCs/>
        </w:rPr>
        <w:t xml:space="preserve">«Ростовэнерго», АО «Донэнерго» и ООО «ТЭК» </w:t>
      </w:r>
      <w:r>
        <w:rPr>
          <w:iCs/>
        </w:rPr>
        <w:t>не применяется.</w:t>
      </w:r>
    </w:p>
    <w:p w14:paraId="77A210E0" w14:textId="77777777" w:rsidR="00B466D8" w:rsidRPr="00B466D8" w:rsidRDefault="00B466D8" w:rsidP="000D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E688C" w14:textId="77777777" w:rsidR="00A00699" w:rsidRDefault="00A00699" w:rsidP="00A0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D9068" w14:textId="77777777" w:rsidR="00C074FA" w:rsidRPr="00B466D8" w:rsidRDefault="00C074FA" w:rsidP="00A0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E659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2C1D7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34952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9E23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F8C44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4E797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5725B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0F97C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5FB73B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51A38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66D8" w:rsidSect="00B466D8">
      <w:headerReference w:type="first" r:id="rId8"/>
      <w:pgSz w:w="11906" w:h="16838"/>
      <w:pgMar w:top="532" w:right="849" w:bottom="426" w:left="1276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B53" w14:textId="77777777" w:rsidR="00FB3A9D" w:rsidRDefault="00FB3A9D" w:rsidP="0009001F">
      <w:pPr>
        <w:spacing w:after="0" w:line="240" w:lineRule="auto"/>
      </w:pPr>
      <w:r>
        <w:separator/>
      </w:r>
    </w:p>
  </w:endnote>
  <w:endnote w:type="continuationSeparator" w:id="0">
    <w:p w14:paraId="104DC455" w14:textId="77777777" w:rsidR="00FB3A9D" w:rsidRDefault="00FB3A9D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ADA6" w14:textId="77777777" w:rsidR="00FB3A9D" w:rsidRDefault="00FB3A9D" w:rsidP="0009001F">
      <w:pPr>
        <w:spacing w:after="0" w:line="240" w:lineRule="auto"/>
      </w:pPr>
      <w:r>
        <w:separator/>
      </w:r>
    </w:p>
  </w:footnote>
  <w:footnote w:type="continuationSeparator" w:id="0">
    <w:p w14:paraId="169ED4BA" w14:textId="77777777" w:rsidR="00FB3A9D" w:rsidRDefault="00FB3A9D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0447" w14:textId="77777777" w:rsidR="0090538A" w:rsidRDefault="0090538A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90538A" w14:paraId="6754567B" w14:textId="77777777" w:rsidTr="00DA288A">
      <w:trPr>
        <w:trHeight w:val="1994"/>
      </w:trPr>
      <w:tc>
        <w:tcPr>
          <w:tcW w:w="3403" w:type="dxa"/>
        </w:tcPr>
        <w:p w14:paraId="16021B12" w14:textId="77777777" w:rsidR="0090538A" w:rsidRDefault="0090538A" w:rsidP="0090538A">
          <w:pPr>
            <w:pStyle w:val="a3"/>
          </w:pPr>
          <w:r>
            <w:object w:dxaOrig="3300" w:dyaOrig="2610" w14:anchorId="585B2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4pt;height:117.95pt">
                <v:imagedata r:id="rId1" o:title=""/>
              </v:shape>
              <o:OLEObject Type="Embed" ProgID="PBrush" ShapeID="_x0000_i1025" DrawAspect="Content" ObjectID="_1734948821" r:id="rId2"/>
            </w:object>
          </w:r>
        </w:p>
      </w:tc>
      <w:tc>
        <w:tcPr>
          <w:tcW w:w="7078" w:type="dxa"/>
        </w:tcPr>
        <w:p w14:paraId="69D53E01" w14:textId="77777777" w:rsidR="0090538A" w:rsidRDefault="0090538A" w:rsidP="0090538A">
          <w:pPr>
            <w:tabs>
              <w:tab w:val="left" w:pos="-100"/>
            </w:tabs>
            <w:ind w:right="-143"/>
          </w:pPr>
        </w:p>
        <w:p w14:paraId="34B89C9B" w14:textId="77777777" w:rsidR="0090538A" w:rsidRPr="00DA4F4D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14:paraId="295CC3E5" w14:textId="77777777" w:rsidR="0090538A" w:rsidRPr="000E64DC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14:paraId="66D3FD02" w14:textId="77777777" w:rsidR="0090538A" w:rsidRPr="000E64DC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14:paraId="6D9E273E" w14:textId="77777777" w:rsidR="0090538A" w:rsidRPr="00ED68C1" w:rsidRDefault="0090538A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90538A" w14:paraId="29289140" w14:textId="77777777" w:rsidTr="00DA288A">
      <w:trPr>
        <w:trHeight w:val="100"/>
      </w:trPr>
      <w:tc>
        <w:tcPr>
          <w:tcW w:w="10485" w:type="dxa"/>
        </w:tcPr>
        <w:p w14:paraId="29868853" w14:textId="77777777" w:rsidR="0090538A" w:rsidRDefault="0090538A" w:rsidP="0090538A">
          <w:pPr>
            <w:pStyle w:val="a3"/>
          </w:pPr>
        </w:p>
      </w:tc>
    </w:tr>
  </w:tbl>
  <w:p w14:paraId="14590777" w14:textId="77777777" w:rsidR="0090538A" w:rsidRDefault="0090538A" w:rsidP="000E6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60E"/>
    <w:multiLevelType w:val="hybridMultilevel"/>
    <w:tmpl w:val="952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1A59"/>
    <w:multiLevelType w:val="hybridMultilevel"/>
    <w:tmpl w:val="231AE2EE"/>
    <w:lvl w:ilvl="0" w:tplc="F5A68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6F"/>
    <w:rsid w:val="00054C34"/>
    <w:rsid w:val="00062456"/>
    <w:rsid w:val="00062A6F"/>
    <w:rsid w:val="00072293"/>
    <w:rsid w:val="00075E4C"/>
    <w:rsid w:val="000768D9"/>
    <w:rsid w:val="0009001F"/>
    <w:rsid w:val="000B0320"/>
    <w:rsid w:val="000B2EE2"/>
    <w:rsid w:val="000B7C47"/>
    <w:rsid w:val="000D19CF"/>
    <w:rsid w:val="000D3402"/>
    <w:rsid w:val="000E109A"/>
    <w:rsid w:val="000E64DC"/>
    <w:rsid w:val="001738C9"/>
    <w:rsid w:val="001C2C4C"/>
    <w:rsid w:val="00202F4F"/>
    <w:rsid w:val="00214AB2"/>
    <w:rsid w:val="00292C3E"/>
    <w:rsid w:val="002B779D"/>
    <w:rsid w:val="002F5988"/>
    <w:rsid w:val="003305B8"/>
    <w:rsid w:val="00353739"/>
    <w:rsid w:val="003C56CC"/>
    <w:rsid w:val="003C7899"/>
    <w:rsid w:val="003E7038"/>
    <w:rsid w:val="00415965"/>
    <w:rsid w:val="004A0C92"/>
    <w:rsid w:val="00557F16"/>
    <w:rsid w:val="005B5511"/>
    <w:rsid w:val="005D6635"/>
    <w:rsid w:val="005F25B5"/>
    <w:rsid w:val="005F6117"/>
    <w:rsid w:val="00637752"/>
    <w:rsid w:val="00664074"/>
    <w:rsid w:val="006663C0"/>
    <w:rsid w:val="006B75D2"/>
    <w:rsid w:val="00704FD0"/>
    <w:rsid w:val="0071668C"/>
    <w:rsid w:val="00732F86"/>
    <w:rsid w:val="00786C02"/>
    <w:rsid w:val="007D5492"/>
    <w:rsid w:val="007D5C2D"/>
    <w:rsid w:val="007E6762"/>
    <w:rsid w:val="008A1BF3"/>
    <w:rsid w:val="008E31FE"/>
    <w:rsid w:val="00901DBD"/>
    <w:rsid w:val="0090538A"/>
    <w:rsid w:val="009E5A65"/>
    <w:rsid w:val="00A00699"/>
    <w:rsid w:val="00A35A75"/>
    <w:rsid w:val="00AB3DF6"/>
    <w:rsid w:val="00AE0D2C"/>
    <w:rsid w:val="00B31994"/>
    <w:rsid w:val="00B466D8"/>
    <w:rsid w:val="00B72F27"/>
    <w:rsid w:val="00BB4398"/>
    <w:rsid w:val="00BF4B4C"/>
    <w:rsid w:val="00C027FC"/>
    <w:rsid w:val="00C074FA"/>
    <w:rsid w:val="00C60D91"/>
    <w:rsid w:val="00C73FE6"/>
    <w:rsid w:val="00C818C0"/>
    <w:rsid w:val="00C95EEC"/>
    <w:rsid w:val="00CC27A6"/>
    <w:rsid w:val="00CC3421"/>
    <w:rsid w:val="00CC3BAB"/>
    <w:rsid w:val="00D20E70"/>
    <w:rsid w:val="00D24063"/>
    <w:rsid w:val="00D44CBB"/>
    <w:rsid w:val="00D81987"/>
    <w:rsid w:val="00DA0196"/>
    <w:rsid w:val="00DA288A"/>
    <w:rsid w:val="00DA4F4D"/>
    <w:rsid w:val="00DF6E5D"/>
    <w:rsid w:val="00E307F3"/>
    <w:rsid w:val="00E7021D"/>
    <w:rsid w:val="00E77349"/>
    <w:rsid w:val="00E95E17"/>
    <w:rsid w:val="00ED68C1"/>
    <w:rsid w:val="00F01E6E"/>
    <w:rsid w:val="00F275B5"/>
    <w:rsid w:val="00F3151E"/>
    <w:rsid w:val="00F45E44"/>
    <w:rsid w:val="00F4609A"/>
    <w:rsid w:val="00F623E5"/>
    <w:rsid w:val="00F7731D"/>
    <w:rsid w:val="00F9541D"/>
    <w:rsid w:val="00FB0BA7"/>
    <w:rsid w:val="00FB3A9D"/>
    <w:rsid w:val="00FC1542"/>
    <w:rsid w:val="00FC3555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4C68E"/>
  <w15:docId w15:val="{70873BD3-0409-47DF-977F-277884B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8C4B-ADF4-463E-A313-A82C72C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User</cp:lastModifiedBy>
  <cp:revision>6</cp:revision>
  <cp:lastPrinted>2020-02-11T07:40:00Z</cp:lastPrinted>
  <dcterms:created xsi:type="dcterms:W3CDTF">2022-01-14T12:47:00Z</dcterms:created>
  <dcterms:modified xsi:type="dcterms:W3CDTF">2023-01-11T10:27:00Z</dcterms:modified>
</cp:coreProperties>
</file>